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F0ED" w14:textId="77777777" w:rsidR="00383120" w:rsidRDefault="00383120"/>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11080"/>
      </w:tblGrid>
      <w:tr w:rsidR="002C6E81" w14:paraId="6B5E8D30" w14:textId="77777777" w:rsidTr="00BB706E">
        <w:tc>
          <w:tcPr>
            <w:tcW w:w="4673" w:type="dxa"/>
          </w:tcPr>
          <w:tbl>
            <w:tblPr>
              <w:tblStyle w:val="TableGrid"/>
              <w:tblW w:w="4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tblGrid>
            <w:tr w:rsidR="00F42B5D" w14:paraId="071EA46A" w14:textId="77777777" w:rsidTr="00D0423C">
              <w:tc>
                <w:tcPr>
                  <w:tcW w:w="4146" w:type="dxa"/>
                </w:tcPr>
                <w:p w14:paraId="70D06E26" w14:textId="495ED140" w:rsidR="00527FBC" w:rsidRPr="00097556" w:rsidRDefault="002C6E81" w:rsidP="00BB706E">
                  <w:pPr>
                    <w:jc w:val="center"/>
                    <w:rPr>
                      <w:sz w:val="28"/>
                      <w:szCs w:val="28"/>
                    </w:rPr>
                  </w:pPr>
                  <w:r>
                    <w:rPr>
                      <w:noProof/>
                      <w:sz w:val="28"/>
                      <w:szCs w:val="28"/>
                    </w:rPr>
                    <w:drawing>
                      <wp:inline distT="0" distB="0" distL="0" distR="0" wp14:anchorId="558E54CC" wp14:editId="4EF778E9">
                        <wp:extent cx="2225040" cy="3291840"/>
                        <wp:effectExtent l="0" t="0" r="3810"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ogram2.png"/>
                                <pic:cNvPicPr/>
                              </pic:nvPicPr>
                              <pic:blipFill>
                                <a:blip r:embed="rId7">
                                  <a:extLst>
                                    <a:ext uri="{28A0092B-C50C-407E-A947-70E740481C1C}">
                                      <a14:useLocalDpi xmlns:a14="http://schemas.microsoft.com/office/drawing/2010/main" val="0"/>
                                    </a:ext>
                                  </a:extLst>
                                </a:blip>
                                <a:stretch>
                                  <a:fillRect/>
                                </a:stretch>
                              </pic:blipFill>
                              <pic:spPr>
                                <a:xfrm>
                                  <a:off x="0" y="0"/>
                                  <a:ext cx="2272942" cy="3362709"/>
                                </a:xfrm>
                                <a:prstGeom prst="rect">
                                  <a:avLst/>
                                </a:prstGeom>
                              </pic:spPr>
                            </pic:pic>
                          </a:graphicData>
                        </a:graphic>
                      </wp:inline>
                    </w:drawing>
                  </w:r>
                </w:p>
              </w:tc>
            </w:tr>
            <w:tr w:rsidR="00F42B5D" w14:paraId="453CF590" w14:textId="77777777" w:rsidTr="00D0423C">
              <w:tc>
                <w:tcPr>
                  <w:tcW w:w="4146" w:type="dxa"/>
                </w:tcPr>
                <w:p w14:paraId="024A99C8" w14:textId="77777777" w:rsidR="00FD4D8E" w:rsidRDefault="00FD4D8E" w:rsidP="00F42B5D"/>
                <w:p w14:paraId="3B004E99" w14:textId="243E3A2D" w:rsidR="00F42B5D" w:rsidRPr="001178AF" w:rsidRDefault="001178AF" w:rsidP="00F42B5D">
                  <w:r>
                    <w:rPr>
                      <w:noProof/>
                      <w:sz w:val="28"/>
                      <w:szCs w:val="28"/>
                    </w:rPr>
                    <w:drawing>
                      <wp:anchor distT="0" distB="0" distL="114300" distR="114300" simplePos="0" relativeHeight="251658240" behindDoc="0" locked="0" layoutInCell="1" allowOverlap="1" wp14:anchorId="0AB14336" wp14:editId="5DFBE99E">
                        <wp:simplePos x="0" y="0"/>
                        <wp:positionH relativeFrom="column">
                          <wp:posOffset>-60960</wp:posOffset>
                        </wp:positionH>
                        <wp:positionV relativeFrom="paragraph">
                          <wp:posOffset>71755</wp:posOffset>
                        </wp:positionV>
                        <wp:extent cx="1318260" cy="1318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14:sizeRelH relativeFrom="margin">
                          <wp14:pctWidth>0</wp14:pctWidth>
                        </wp14:sizeRelH>
                        <wp14:sizeRelV relativeFrom="margin">
                          <wp14:pctHeight>0</wp14:pctHeight>
                        </wp14:sizeRelV>
                      </wp:anchor>
                    </w:drawing>
                  </w:r>
                  <w:r>
                    <w:t>Get more</w:t>
                  </w:r>
                  <w:r w:rsidR="00F42B5D" w:rsidRPr="001178AF">
                    <w:t xml:space="preserve"> information:</w:t>
                  </w:r>
                </w:p>
                <w:p w14:paraId="15D40645" w14:textId="2083FDCB" w:rsidR="00F42B5D" w:rsidRPr="001178AF" w:rsidRDefault="001178AF" w:rsidP="001178AF">
                  <w:pPr>
                    <w:pStyle w:val="ListParagraph"/>
                    <w:numPr>
                      <w:ilvl w:val="0"/>
                      <w:numId w:val="2"/>
                    </w:numPr>
                    <w:ind w:left="210" w:hanging="210"/>
                  </w:pPr>
                  <w:r>
                    <w:t>B</w:t>
                  </w:r>
                  <w:r w:rsidR="00F42B5D" w:rsidRPr="001178AF">
                    <w:t>y posting (where exactly?)</w:t>
                  </w:r>
                </w:p>
                <w:p w14:paraId="020151DF" w14:textId="20C39657" w:rsidR="00F42B5D" w:rsidRDefault="001178AF" w:rsidP="001178AF">
                  <w:pPr>
                    <w:pStyle w:val="ListParagraph"/>
                    <w:numPr>
                      <w:ilvl w:val="0"/>
                      <w:numId w:val="2"/>
                    </w:numPr>
                    <w:ind w:left="210" w:hanging="210"/>
                  </w:pPr>
                  <w:r>
                    <w:t>A</w:t>
                  </w:r>
                  <w:r w:rsidR="00F42B5D" w:rsidRPr="001178AF">
                    <w:t>t our customer information / reception / cashier on the ground floor</w:t>
                  </w:r>
                </w:p>
                <w:p w14:paraId="3D962CAE" w14:textId="6E8B3844" w:rsidR="00F42B5D" w:rsidRPr="001178AF" w:rsidRDefault="001178AF" w:rsidP="00FD4D8E">
                  <w:pPr>
                    <w:pStyle w:val="ListParagraph"/>
                    <w:numPr>
                      <w:ilvl w:val="0"/>
                      <w:numId w:val="2"/>
                    </w:numPr>
                    <w:ind w:left="2194" w:hanging="210"/>
                    <w:rPr>
                      <w:sz w:val="28"/>
                      <w:szCs w:val="28"/>
                    </w:rPr>
                  </w:pPr>
                  <w:r>
                    <w:t>O</w:t>
                  </w:r>
                  <w:r w:rsidR="00F42B5D" w:rsidRPr="001178AF">
                    <w:t>n the Internet at</w:t>
                  </w:r>
                  <w:r w:rsidR="00FD4D8E">
                    <w:t>…</w:t>
                  </w:r>
                </w:p>
              </w:tc>
            </w:tr>
          </w:tbl>
          <w:p w14:paraId="584D834F" w14:textId="77777777" w:rsidR="00F42B5D" w:rsidRDefault="00F42B5D"/>
        </w:tc>
        <w:tc>
          <w:tcPr>
            <w:tcW w:w="10064" w:type="dxa"/>
          </w:tcPr>
          <w:tbl>
            <w:tblPr>
              <w:tblStyle w:val="TableGrid"/>
              <w:tblW w:w="10720" w:type="dxa"/>
              <w:tblInd w:w="251" w:type="dxa"/>
              <w:tblLook w:val="04A0" w:firstRow="1" w:lastRow="0" w:firstColumn="1" w:lastColumn="0" w:noHBand="0" w:noVBand="1"/>
            </w:tblPr>
            <w:tblGrid>
              <w:gridCol w:w="10720"/>
            </w:tblGrid>
            <w:tr w:rsidR="00F42B5D" w14:paraId="749ABA2F" w14:textId="77777777" w:rsidTr="00D0423C">
              <w:trPr>
                <w:trHeight w:val="1662"/>
              </w:trPr>
              <w:tc>
                <w:tcPr>
                  <w:tcW w:w="10720" w:type="dxa"/>
                </w:tcPr>
                <w:p w14:paraId="3DE3956C" w14:textId="5EABA6BC" w:rsidR="00F42B5D" w:rsidRPr="00097556" w:rsidRDefault="00F42B5D">
                  <w:pPr>
                    <w:rPr>
                      <w:sz w:val="28"/>
                      <w:szCs w:val="28"/>
                    </w:rPr>
                  </w:pPr>
                  <w:r w:rsidRPr="00097556">
                    <w:rPr>
                      <w:sz w:val="28"/>
                      <w:szCs w:val="28"/>
                    </w:rPr>
                    <w:t>Name and contact details of the person responsible</w:t>
                  </w:r>
                  <w:r w:rsidR="007F30D2">
                    <w:rPr>
                      <w:sz w:val="28"/>
                      <w:szCs w:val="28"/>
                    </w:rPr>
                    <w:t>/controller</w:t>
                  </w:r>
                  <w:r w:rsidRPr="00097556">
                    <w:rPr>
                      <w:sz w:val="28"/>
                      <w:szCs w:val="28"/>
                    </w:rPr>
                    <w:t xml:space="preserve"> and, where applicable, the representative:</w:t>
                  </w:r>
                </w:p>
                <w:p w14:paraId="6A8C5A9D" w14:textId="25463A81" w:rsidR="00527FBC" w:rsidRPr="00097556" w:rsidRDefault="00527FBC">
                  <w:pPr>
                    <w:rPr>
                      <w:sz w:val="28"/>
                      <w:szCs w:val="28"/>
                    </w:rPr>
                  </w:pPr>
                </w:p>
                <w:p w14:paraId="123F30E5" w14:textId="77777777" w:rsidR="00527FBC" w:rsidRPr="00097556" w:rsidRDefault="00527FBC">
                  <w:pPr>
                    <w:rPr>
                      <w:sz w:val="28"/>
                      <w:szCs w:val="28"/>
                    </w:rPr>
                  </w:pPr>
                </w:p>
                <w:p w14:paraId="62B5D434" w14:textId="64F372EA" w:rsidR="00527FBC" w:rsidRPr="00097556" w:rsidRDefault="00527FBC">
                  <w:pPr>
                    <w:rPr>
                      <w:sz w:val="28"/>
                      <w:szCs w:val="28"/>
                    </w:rPr>
                  </w:pPr>
                </w:p>
              </w:tc>
            </w:tr>
            <w:tr w:rsidR="00F42B5D" w14:paraId="7A70774B" w14:textId="77777777" w:rsidTr="00D0423C">
              <w:trPr>
                <w:trHeight w:val="1324"/>
              </w:trPr>
              <w:tc>
                <w:tcPr>
                  <w:tcW w:w="10720" w:type="dxa"/>
                </w:tcPr>
                <w:p w14:paraId="4EBC39D5" w14:textId="77777777" w:rsidR="00F42B5D" w:rsidRPr="00097556" w:rsidRDefault="00F42B5D">
                  <w:pPr>
                    <w:rPr>
                      <w:sz w:val="28"/>
                      <w:szCs w:val="28"/>
                    </w:rPr>
                  </w:pPr>
                  <w:r w:rsidRPr="00097556">
                    <w:rPr>
                      <w:sz w:val="28"/>
                      <w:szCs w:val="28"/>
                    </w:rPr>
                    <w:t>Contact details of the data protection officer (if available):</w:t>
                  </w:r>
                </w:p>
                <w:p w14:paraId="4285F746" w14:textId="77777777" w:rsidR="00527FBC" w:rsidRPr="00097556" w:rsidRDefault="00527FBC">
                  <w:pPr>
                    <w:rPr>
                      <w:sz w:val="28"/>
                      <w:szCs w:val="28"/>
                    </w:rPr>
                  </w:pPr>
                </w:p>
                <w:p w14:paraId="1E726D68" w14:textId="77777777" w:rsidR="00527FBC" w:rsidRPr="00097556" w:rsidRDefault="00527FBC">
                  <w:pPr>
                    <w:rPr>
                      <w:sz w:val="28"/>
                      <w:szCs w:val="28"/>
                    </w:rPr>
                  </w:pPr>
                </w:p>
                <w:p w14:paraId="6EE5A178" w14:textId="1AD5FDB3" w:rsidR="00527FBC" w:rsidRPr="00097556" w:rsidRDefault="00527FBC">
                  <w:pPr>
                    <w:rPr>
                      <w:sz w:val="28"/>
                      <w:szCs w:val="28"/>
                    </w:rPr>
                  </w:pPr>
                </w:p>
              </w:tc>
            </w:tr>
            <w:tr w:rsidR="00F42B5D" w14:paraId="00089B2F" w14:textId="77777777" w:rsidTr="00D0423C">
              <w:trPr>
                <w:trHeight w:val="1336"/>
              </w:trPr>
              <w:tc>
                <w:tcPr>
                  <w:tcW w:w="10720" w:type="dxa"/>
                </w:tcPr>
                <w:p w14:paraId="608BC138" w14:textId="77777777" w:rsidR="00F42B5D" w:rsidRPr="00097556" w:rsidRDefault="00F42B5D">
                  <w:pPr>
                    <w:rPr>
                      <w:sz w:val="28"/>
                      <w:szCs w:val="28"/>
                    </w:rPr>
                  </w:pPr>
                  <w:r w:rsidRPr="00097556">
                    <w:rPr>
                      <w:sz w:val="28"/>
                      <w:szCs w:val="28"/>
                    </w:rPr>
                    <w:t>Purposes and legal basis of data processing:</w:t>
                  </w:r>
                </w:p>
                <w:p w14:paraId="52EF0ACB" w14:textId="77777777" w:rsidR="00527FBC" w:rsidRPr="00097556" w:rsidRDefault="00527FBC">
                  <w:pPr>
                    <w:rPr>
                      <w:sz w:val="28"/>
                      <w:szCs w:val="28"/>
                    </w:rPr>
                  </w:pPr>
                </w:p>
                <w:p w14:paraId="05E7B064" w14:textId="77777777" w:rsidR="00097556" w:rsidRPr="00097556" w:rsidRDefault="00097556">
                  <w:pPr>
                    <w:rPr>
                      <w:sz w:val="28"/>
                      <w:szCs w:val="28"/>
                    </w:rPr>
                  </w:pPr>
                </w:p>
                <w:p w14:paraId="479D7E71" w14:textId="36AE9A20" w:rsidR="00527FBC" w:rsidRPr="00097556" w:rsidRDefault="00527FBC">
                  <w:pPr>
                    <w:rPr>
                      <w:sz w:val="28"/>
                      <w:szCs w:val="28"/>
                    </w:rPr>
                  </w:pPr>
                </w:p>
              </w:tc>
            </w:tr>
            <w:tr w:rsidR="00F42B5D" w14:paraId="6342E7F5" w14:textId="77777777" w:rsidTr="00D0423C">
              <w:trPr>
                <w:trHeight w:val="1648"/>
              </w:trPr>
              <w:tc>
                <w:tcPr>
                  <w:tcW w:w="10720" w:type="dxa"/>
                </w:tcPr>
                <w:p w14:paraId="5E13EA6A" w14:textId="77777777" w:rsidR="00F42B5D" w:rsidRPr="00097556" w:rsidRDefault="00F42B5D">
                  <w:pPr>
                    <w:rPr>
                      <w:sz w:val="28"/>
                      <w:szCs w:val="28"/>
                    </w:rPr>
                  </w:pPr>
                  <w:r w:rsidRPr="00097556">
                    <w:rPr>
                      <w:sz w:val="28"/>
                      <w:szCs w:val="28"/>
                    </w:rPr>
                    <w:t>Legitimate interests being pursued:</w:t>
                  </w:r>
                </w:p>
                <w:p w14:paraId="73FC393B" w14:textId="77777777" w:rsidR="00527FBC" w:rsidRPr="00097556" w:rsidRDefault="00527FBC">
                  <w:pPr>
                    <w:rPr>
                      <w:sz w:val="28"/>
                      <w:szCs w:val="28"/>
                    </w:rPr>
                  </w:pPr>
                </w:p>
                <w:p w14:paraId="1207FE1C" w14:textId="77777777" w:rsidR="00097556" w:rsidRPr="00097556" w:rsidRDefault="00097556">
                  <w:pPr>
                    <w:rPr>
                      <w:sz w:val="28"/>
                      <w:szCs w:val="28"/>
                    </w:rPr>
                  </w:pPr>
                </w:p>
                <w:p w14:paraId="6535FD4A" w14:textId="7DDE4F43" w:rsidR="00527FBC" w:rsidRPr="00097556" w:rsidRDefault="00527FBC">
                  <w:pPr>
                    <w:rPr>
                      <w:sz w:val="28"/>
                      <w:szCs w:val="28"/>
                    </w:rPr>
                  </w:pPr>
                </w:p>
              </w:tc>
            </w:tr>
            <w:tr w:rsidR="00F42B5D" w14:paraId="0863D3D2" w14:textId="77777777" w:rsidTr="00D0423C">
              <w:trPr>
                <w:trHeight w:val="1336"/>
              </w:trPr>
              <w:tc>
                <w:tcPr>
                  <w:tcW w:w="10720" w:type="dxa"/>
                </w:tcPr>
                <w:p w14:paraId="2B738878" w14:textId="77777777" w:rsidR="00F42B5D" w:rsidRPr="00097556" w:rsidRDefault="00F42B5D">
                  <w:pPr>
                    <w:rPr>
                      <w:sz w:val="28"/>
                      <w:szCs w:val="28"/>
                    </w:rPr>
                  </w:pPr>
                  <w:r w:rsidRPr="00097556">
                    <w:rPr>
                      <w:sz w:val="28"/>
                      <w:szCs w:val="28"/>
                    </w:rPr>
                    <w:t>Storage duration or criteria for determining the duration:</w:t>
                  </w:r>
                </w:p>
                <w:p w14:paraId="7C6CEE5B" w14:textId="77777777" w:rsidR="00527FBC" w:rsidRPr="00097556" w:rsidRDefault="00527FBC">
                  <w:pPr>
                    <w:rPr>
                      <w:sz w:val="28"/>
                      <w:szCs w:val="28"/>
                    </w:rPr>
                  </w:pPr>
                </w:p>
                <w:p w14:paraId="6210457A" w14:textId="77777777" w:rsidR="00527FBC" w:rsidRPr="00097556" w:rsidRDefault="00527FBC">
                  <w:pPr>
                    <w:rPr>
                      <w:sz w:val="28"/>
                      <w:szCs w:val="28"/>
                    </w:rPr>
                  </w:pPr>
                </w:p>
                <w:p w14:paraId="18C994F2" w14:textId="4C5E8B3B" w:rsidR="00527FBC" w:rsidRPr="00097556" w:rsidRDefault="00527FBC">
                  <w:pPr>
                    <w:rPr>
                      <w:sz w:val="28"/>
                      <w:szCs w:val="28"/>
                    </w:rPr>
                  </w:pPr>
                </w:p>
              </w:tc>
            </w:tr>
            <w:tr w:rsidR="00D0423C" w14:paraId="16B97AA7" w14:textId="77777777" w:rsidTr="00D0423C">
              <w:trPr>
                <w:trHeight w:val="986"/>
              </w:trPr>
              <w:tc>
                <w:tcPr>
                  <w:tcW w:w="10720" w:type="dxa"/>
                </w:tcPr>
                <w:p w14:paraId="2510291F" w14:textId="77777777" w:rsidR="00D0423C" w:rsidRDefault="00D0423C">
                  <w:pPr>
                    <w:rPr>
                      <w:sz w:val="28"/>
                      <w:szCs w:val="28"/>
                    </w:rPr>
                  </w:pPr>
                  <w:r w:rsidRPr="00D0423C">
                    <w:rPr>
                      <w:sz w:val="28"/>
                      <w:szCs w:val="28"/>
                    </w:rPr>
                    <w:t>Recipients or categories of recipients of the personal data, if any:</w:t>
                  </w:r>
                </w:p>
                <w:p w14:paraId="415E474C" w14:textId="77777777" w:rsidR="00D0423C" w:rsidRDefault="00D0423C">
                  <w:pPr>
                    <w:rPr>
                      <w:sz w:val="28"/>
                      <w:szCs w:val="28"/>
                    </w:rPr>
                  </w:pPr>
                </w:p>
                <w:p w14:paraId="41E559F9" w14:textId="4FAD2B2D" w:rsidR="00D0423C" w:rsidRPr="00097556" w:rsidRDefault="00D0423C">
                  <w:pPr>
                    <w:rPr>
                      <w:sz w:val="28"/>
                      <w:szCs w:val="28"/>
                    </w:rPr>
                  </w:pPr>
                </w:p>
              </w:tc>
            </w:tr>
          </w:tbl>
          <w:p w14:paraId="30B358B3" w14:textId="77777777" w:rsidR="00F42B5D" w:rsidRDefault="00F42B5D"/>
        </w:tc>
      </w:tr>
    </w:tbl>
    <w:p w14:paraId="6D2F18CD" w14:textId="77777777" w:rsidR="00194800" w:rsidRDefault="00194800" w:rsidP="00D63104">
      <w:pPr>
        <w:keepNext/>
        <w:spacing w:after="0"/>
      </w:pPr>
    </w:p>
    <w:p w14:paraId="682E5CE4" w14:textId="4A06426C" w:rsidR="00D0423C" w:rsidRDefault="00D0423C" w:rsidP="00D63104">
      <w:pPr>
        <w:keepNext/>
        <w:spacing w:after="0"/>
      </w:pPr>
      <w:r>
        <w:t>Rights of the data subjects</w:t>
      </w:r>
    </w:p>
    <w:p w14:paraId="55AE92D5" w14:textId="77777777" w:rsidR="00D0423C" w:rsidRDefault="00D0423C" w:rsidP="00D63104">
      <w:pPr>
        <w:keepNext/>
        <w:spacing w:after="0"/>
      </w:pPr>
      <w:r>
        <w:t xml:space="preserve">As a data subject you have the right, </w:t>
      </w:r>
    </w:p>
    <w:p w14:paraId="2543E6D3" w14:textId="31F4BEE6" w:rsidR="00D0423C" w:rsidRDefault="00D0423C" w:rsidP="00D63104">
      <w:pPr>
        <w:pStyle w:val="ListBullet"/>
        <w:keepNext/>
        <w:ind w:left="357" w:hanging="357"/>
      </w:pPr>
      <w:r>
        <w:t xml:space="preserve">to obtain from the controller confirmation as to </w:t>
      </w:r>
      <w:proofErr w:type="gramStart"/>
      <w:r>
        <w:t>whether or not</w:t>
      </w:r>
      <w:proofErr w:type="gramEnd"/>
      <w:r>
        <w:t xml:space="preserve"> personal data </w:t>
      </w:r>
      <w:r w:rsidR="00194800">
        <w:t xml:space="preserve">that </w:t>
      </w:r>
      <w:r>
        <w:t>concern</w:t>
      </w:r>
      <w:r w:rsidR="00194800">
        <w:t>s</w:t>
      </w:r>
      <w:r>
        <w:t xml:space="preserve"> you is being processed, and, where that is the case, access to the personal data according to Article 15 GDPR.</w:t>
      </w:r>
    </w:p>
    <w:p w14:paraId="686FDE7E" w14:textId="3266DC53" w:rsidR="00D0423C" w:rsidRDefault="00D0423C" w:rsidP="00D0423C">
      <w:pPr>
        <w:pStyle w:val="ListBullet"/>
      </w:pPr>
      <w:r>
        <w:t xml:space="preserve">to obtain from the controller without undue delay the rectification of inaccurate personal data </w:t>
      </w:r>
      <w:r w:rsidR="00194800">
        <w:t xml:space="preserve">that </w:t>
      </w:r>
      <w:r>
        <w:t>concern</w:t>
      </w:r>
      <w:r w:rsidR="00194800">
        <w:t>s</w:t>
      </w:r>
      <w:r>
        <w:t xml:space="preserve"> you (Article 16 GDPR).</w:t>
      </w:r>
      <w:bookmarkStart w:id="0" w:name="_Toc7620134"/>
    </w:p>
    <w:p w14:paraId="6687849B" w14:textId="4B747980" w:rsidR="00D0423C" w:rsidRDefault="00D0423C">
      <w:pPr>
        <w:sectPr w:rsidR="00D0423C" w:rsidSect="00194800">
          <w:pgSz w:w="16838" w:h="11906" w:orient="landscape"/>
          <w:pgMar w:top="142" w:right="720" w:bottom="142" w:left="720" w:header="139" w:footer="159" w:gutter="0"/>
          <w:cols w:space="708"/>
          <w:docGrid w:linePitch="360"/>
        </w:sectPr>
      </w:pPr>
    </w:p>
    <w:p w14:paraId="1510F5DB" w14:textId="68D2F04A" w:rsidR="00E4392C" w:rsidRDefault="00E4392C" w:rsidP="00E4392C">
      <w:pPr>
        <w:pStyle w:val="h1"/>
        <w:rPr>
          <w:lang w:val="en-US"/>
        </w:rPr>
      </w:pPr>
      <w:r w:rsidRPr="00C758B3">
        <w:rPr>
          <w:lang w:val="en-US"/>
        </w:rPr>
        <w:lastRenderedPageBreak/>
        <w:t xml:space="preserve">Sample template: </w:t>
      </w:r>
      <w:bookmarkEnd w:id="0"/>
      <w:r>
        <w:rPr>
          <w:lang w:val="en-US"/>
        </w:rPr>
        <w:t>On-the-spot notice</w:t>
      </w:r>
    </w:p>
    <w:p w14:paraId="4E85C032" w14:textId="7B612008" w:rsidR="00E4392C" w:rsidRDefault="00E4392C" w:rsidP="00E4392C">
      <w:r w:rsidRPr="00E4392C">
        <w:t xml:space="preserve">Example of an On-the-spot notice according to </w:t>
      </w:r>
      <w:r w:rsidR="00FB58D5">
        <w:t>Article</w:t>
      </w:r>
      <w:r w:rsidRPr="00E4392C">
        <w:t xml:space="preserve"> 13 of the General Data Protection Regulation for video surveillance.</w:t>
      </w:r>
    </w:p>
    <w:p w14:paraId="766A23C8" w14:textId="2F122680" w:rsidR="00E4392C" w:rsidRDefault="00E4392C" w:rsidP="00E4392C">
      <w:r w:rsidRPr="00F42B5D">
        <w:t xml:space="preserve">Note: Information should be provided free of charge in a clear, transparent, understandable and easily accessible form </w:t>
      </w:r>
      <w:bookmarkStart w:id="1" w:name="_GoBack"/>
      <w:bookmarkEnd w:id="1"/>
      <w:r w:rsidRPr="00F42B5D">
        <w:t xml:space="preserve">in a clear and simple language. </w:t>
      </w:r>
      <w:r>
        <w:t>It</w:t>
      </w:r>
      <w:r w:rsidRPr="00F42B5D">
        <w:t xml:space="preserve"> can be provided in combination with standardized pictograms (see </w:t>
      </w:r>
      <w:r w:rsidR="00FB58D5">
        <w:t>Article</w:t>
      </w:r>
      <w:r w:rsidRPr="00F42B5D">
        <w:t xml:space="preserve"> 12 GDPR). In order to achieve readability, the </w:t>
      </w:r>
      <w:r w:rsidR="00086DCC">
        <w:t xml:space="preserve">size of the </w:t>
      </w:r>
      <w:r w:rsidRPr="00F42B5D">
        <w:t xml:space="preserve">printout should be at least </w:t>
      </w:r>
      <w:r w:rsidR="00086DCC" w:rsidRPr="00086DCC">
        <w:t>DIN A4</w:t>
      </w:r>
      <w:r w:rsidRPr="00F42B5D">
        <w:t>.</w:t>
      </w:r>
    </w:p>
    <w:p w14:paraId="08C7C9F1" w14:textId="5492E83D" w:rsidR="0016620C" w:rsidRDefault="002B2F23" w:rsidP="00E4392C">
      <w:r>
        <w:rPr>
          <w:noProof/>
        </w:rPr>
        <w:drawing>
          <wp:inline distT="0" distB="0" distL="0" distR="0" wp14:anchorId="22E45609" wp14:editId="63067F3C">
            <wp:extent cx="5547600" cy="37908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7600" cy="3790800"/>
                    </a:xfrm>
                    <a:prstGeom prst="rect">
                      <a:avLst/>
                    </a:prstGeom>
                  </pic:spPr>
                </pic:pic>
              </a:graphicData>
            </a:graphic>
          </wp:inline>
        </w:drawing>
      </w:r>
    </w:p>
    <w:p w14:paraId="7FBBB385" w14:textId="4B51B673" w:rsidR="009A037C" w:rsidRPr="00C758B3" w:rsidRDefault="006B3655" w:rsidP="006B3655">
      <w:pPr>
        <w:pStyle w:val="Heading2"/>
      </w:pPr>
      <w:r>
        <w:t>Instructions</w:t>
      </w:r>
    </w:p>
    <w:p w14:paraId="46B4886F" w14:textId="77777777" w:rsidR="00E4392C" w:rsidRPr="00C758B3" w:rsidRDefault="00E4392C" w:rsidP="00E4392C">
      <w:pPr>
        <w:pStyle w:val="p"/>
        <w:rPr>
          <w:lang w:val="en-US"/>
        </w:rPr>
      </w:pPr>
      <w:r w:rsidRPr="00C758B3">
        <w:rPr>
          <w:rStyle w:val="spanspecialbold"/>
          <w:lang w:val="en-US"/>
        </w:rPr>
        <w:t>[Insert your video surveillance pictogram: you may consider, for example, the ISO pictogram or the pictogram customarily used where you are located.]</w:t>
      </w:r>
    </w:p>
    <w:p w14:paraId="16E2D4CE" w14:textId="77777777" w:rsidR="00E4392C" w:rsidRPr="00C758B3" w:rsidRDefault="00E4392C" w:rsidP="00E4392C">
      <w:pPr>
        <w:pStyle w:val="li"/>
        <w:numPr>
          <w:ilvl w:val="0"/>
          <w:numId w:val="3"/>
        </w:numPr>
        <w:spacing w:before="160"/>
        <w:ind w:left="600"/>
        <w:rPr>
          <w:lang w:val="en-US"/>
        </w:rPr>
      </w:pPr>
      <w:r w:rsidRPr="00C758B3">
        <w:rPr>
          <w:color w:val="000000"/>
          <w:lang w:val="en-US"/>
        </w:rPr>
        <w:t>Name and contact details of the person responsible</w:t>
      </w:r>
    </w:p>
    <w:p w14:paraId="170AAB72" w14:textId="77777777" w:rsidR="00E4392C" w:rsidRPr="00C758B3" w:rsidRDefault="00E4392C" w:rsidP="00E4392C">
      <w:pPr>
        <w:pStyle w:val="li"/>
        <w:numPr>
          <w:ilvl w:val="0"/>
          <w:numId w:val="3"/>
        </w:numPr>
        <w:ind w:left="600"/>
        <w:rPr>
          <w:lang w:val="en-US"/>
        </w:rPr>
      </w:pPr>
      <w:r w:rsidRPr="00C758B3">
        <w:rPr>
          <w:color w:val="000000"/>
          <w:lang w:val="en-US"/>
        </w:rPr>
        <w:t>Contact details of the data protection officer (if available)</w:t>
      </w:r>
    </w:p>
    <w:p w14:paraId="0F5FE845" w14:textId="77777777" w:rsidR="00E4392C" w:rsidRPr="00C758B3" w:rsidRDefault="00E4392C" w:rsidP="00E4392C">
      <w:pPr>
        <w:pStyle w:val="li"/>
        <w:numPr>
          <w:ilvl w:val="0"/>
          <w:numId w:val="3"/>
        </w:numPr>
        <w:ind w:left="600"/>
        <w:rPr>
          <w:lang w:val="en-US"/>
        </w:rPr>
      </w:pPr>
      <w:r w:rsidRPr="00C758B3">
        <w:rPr>
          <w:color w:val="000000"/>
          <w:lang w:val="en-US"/>
        </w:rPr>
        <w:t>Purposes and legal basis of data processing</w:t>
      </w:r>
    </w:p>
    <w:p w14:paraId="6D5E46DA" w14:textId="77777777" w:rsidR="00E4392C" w:rsidRPr="002C6E81" w:rsidRDefault="00E4392C" w:rsidP="00E4392C">
      <w:pPr>
        <w:pStyle w:val="li"/>
        <w:numPr>
          <w:ilvl w:val="0"/>
          <w:numId w:val="3"/>
        </w:numPr>
        <w:ind w:left="600"/>
        <w:rPr>
          <w:lang w:val="en-US"/>
        </w:rPr>
      </w:pPr>
      <w:r w:rsidRPr="002C6E81">
        <w:rPr>
          <w:color w:val="000000"/>
          <w:lang w:val="en-US"/>
        </w:rPr>
        <w:t>Legitimate interests being pursued</w:t>
      </w:r>
    </w:p>
    <w:p w14:paraId="54D10458" w14:textId="005722BB" w:rsidR="00E4392C" w:rsidRPr="00D0423C" w:rsidRDefault="00E4392C" w:rsidP="00E4392C">
      <w:pPr>
        <w:pStyle w:val="li"/>
        <w:numPr>
          <w:ilvl w:val="0"/>
          <w:numId w:val="3"/>
        </w:numPr>
        <w:spacing w:after="201"/>
        <w:ind w:left="600"/>
        <w:rPr>
          <w:lang w:val="en-US"/>
        </w:rPr>
      </w:pPr>
      <w:r w:rsidRPr="00C758B3">
        <w:rPr>
          <w:color w:val="000000"/>
          <w:lang w:val="en-US"/>
        </w:rPr>
        <w:t>Storage duration or criteria for determining the duration</w:t>
      </w:r>
    </w:p>
    <w:p w14:paraId="29DC1236" w14:textId="74EEE8B8" w:rsidR="00D0423C" w:rsidRPr="00C758B3" w:rsidRDefault="00D0423C" w:rsidP="00E4392C">
      <w:pPr>
        <w:pStyle w:val="li"/>
        <w:numPr>
          <w:ilvl w:val="0"/>
          <w:numId w:val="3"/>
        </w:numPr>
        <w:spacing w:after="201"/>
        <w:ind w:left="600"/>
        <w:rPr>
          <w:lang w:val="en-US"/>
        </w:rPr>
      </w:pPr>
      <w:r w:rsidRPr="00D0423C">
        <w:rPr>
          <w:lang w:val="en-US"/>
        </w:rPr>
        <w:t>Recipients or categories of recipients of the personal data, if any:</w:t>
      </w:r>
      <w:r>
        <w:rPr>
          <w:lang w:val="en-US"/>
        </w:rPr>
        <w:br/>
      </w:r>
      <w:r w:rsidRPr="00D0423C">
        <w:rPr>
          <w:lang w:val="en-US"/>
        </w:rPr>
        <w:t>[where applicable, the fact that the controller intends to transfer personal data to a third country or international organi</w:t>
      </w:r>
      <w:r>
        <w:rPr>
          <w:lang w:val="en-US"/>
        </w:rPr>
        <w:t>z</w:t>
      </w:r>
      <w:r w:rsidRPr="00D0423C">
        <w:rPr>
          <w:lang w:val="en-US"/>
        </w:rPr>
        <w:t>ation and the existence or absence of an adequacy decision by the Commission, or reference to the appropriate or suitable safeguards.]</w:t>
      </w:r>
    </w:p>
    <w:p w14:paraId="71A07437" w14:textId="343D9F45" w:rsidR="00E4392C" w:rsidRPr="00C758B3" w:rsidRDefault="00E4392C" w:rsidP="00E4392C">
      <w:pPr>
        <w:pStyle w:val="p"/>
        <w:rPr>
          <w:lang w:val="en-US"/>
        </w:rPr>
      </w:pPr>
      <w:r w:rsidRPr="00C758B3">
        <w:rPr>
          <w:color w:val="000000"/>
          <w:lang w:val="en-US"/>
        </w:rPr>
        <w:t xml:space="preserve">For further information, please consult www.domainnameofyourorganization/cctv or contact the Agency's security unit at </w:t>
      </w:r>
      <w:r w:rsidRPr="00C758B3">
        <w:rPr>
          <w:rStyle w:val="spanspecialbold"/>
          <w:lang w:val="en-US"/>
        </w:rPr>
        <w:t>[telephone number and email address]</w:t>
      </w:r>
      <w:r w:rsidRPr="00C758B3">
        <w:rPr>
          <w:color w:val="000000"/>
          <w:lang w:val="en-US"/>
        </w:rPr>
        <w:t>.</w:t>
      </w:r>
      <w:r w:rsidR="00FB58D5">
        <w:rPr>
          <w:color w:val="000000"/>
          <w:lang w:val="en-US"/>
        </w:rPr>
        <w:t xml:space="preserve"> P</w:t>
      </w:r>
      <w:r w:rsidR="00EE2A5C">
        <w:rPr>
          <w:color w:val="000000"/>
          <w:lang w:val="en-US"/>
        </w:rPr>
        <w:t xml:space="preserve">rovide information as described in </w:t>
      </w:r>
      <w:r w:rsidR="00EE2A5C" w:rsidRPr="00EE2A5C">
        <w:rPr>
          <w:i/>
          <w:iCs/>
          <w:color w:val="000000"/>
          <w:lang w:val="en-US"/>
        </w:rPr>
        <w:t>References to the rights of those affected</w:t>
      </w:r>
      <w:r w:rsidR="00EE2A5C">
        <w:rPr>
          <w:color w:val="000000"/>
          <w:lang w:val="en-US"/>
        </w:rPr>
        <w:t xml:space="preserve">, </w:t>
      </w:r>
      <w:r w:rsidR="007E3041">
        <w:rPr>
          <w:color w:val="000000"/>
          <w:lang w:val="en-US"/>
        </w:rPr>
        <w:t>in the following</w:t>
      </w:r>
      <w:r w:rsidR="00EE2A5C">
        <w:rPr>
          <w:color w:val="000000"/>
          <w:lang w:val="en-US"/>
        </w:rPr>
        <w:t>.</w:t>
      </w:r>
    </w:p>
    <w:p w14:paraId="3397506D" w14:textId="73D17B8B" w:rsidR="00E4392C" w:rsidRDefault="00E4392C" w:rsidP="00E4392C">
      <w:pPr>
        <w:pStyle w:val="p"/>
        <w:rPr>
          <w:rStyle w:val="spanspecialbold"/>
          <w:lang w:val="en-US"/>
        </w:rPr>
      </w:pPr>
      <w:r w:rsidRPr="00C758B3">
        <w:rPr>
          <w:rStyle w:val="spanspecialbold"/>
          <w:lang w:val="en-US"/>
        </w:rPr>
        <w:t>[Include multiple language versions when applicable.]</w:t>
      </w:r>
    </w:p>
    <w:p w14:paraId="2E4BC9C3" w14:textId="77777777" w:rsidR="00EE2A5C" w:rsidRPr="00C758B3" w:rsidRDefault="00EE2A5C" w:rsidP="00E4392C">
      <w:pPr>
        <w:pStyle w:val="p"/>
        <w:rPr>
          <w:lang w:val="en-US"/>
        </w:rPr>
      </w:pPr>
    </w:p>
    <w:p w14:paraId="58708EF7" w14:textId="03D3FD5B" w:rsidR="007D0C37" w:rsidRDefault="007D0C37" w:rsidP="007D0C37">
      <w:pPr>
        <w:pStyle w:val="Heading2"/>
      </w:pPr>
      <w:r>
        <w:lastRenderedPageBreak/>
        <w:t>References to the rights of those affected</w:t>
      </w:r>
      <w:r w:rsidR="00C901BD">
        <w:t xml:space="preserve"> (to be posted online)</w:t>
      </w:r>
    </w:p>
    <w:p w14:paraId="71298733" w14:textId="7CB7D037" w:rsidR="007D0C37" w:rsidRDefault="007D0C37" w:rsidP="007D0C37">
      <w:r>
        <w:t>The data subject has the right to request confirmation from the controller as to whether personal data concerning him</w:t>
      </w:r>
      <w:r w:rsidR="00EE2A5C">
        <w:t xml:space="preserve"> or </w:t>
      </w:r>
      <w:r>
        <w:t xml:space="preserve">her </w:t>
      </w:r>
      <w:r w:rsidR="00EE2A5C">
        <w:t>is</w:t>
      </w:r>
      <w:r>
        <w:t xml:space="preserve"> being processed; if that is the case, </w:t>
      </w:r>
      <w:r w:rsidR="00EE2A5C">
        <w:t>the data subject</w:t>
      </w:r>
      <w:r>
        <w:t xml:space="preserve"> has </w:t>
      </w:r>
      <w:r w:rsidR="00EE2A5C">
        <w:t>the</w:t>
      </w:r>
      <w:r>
        <w:t xml:space="preserve"> </w:t>
      </w:r>
      <w:r w:rsidRPr="009A037C">
        <w:rPr>
          <w:b/>
          <w:bCs/>
        </w:rPr>
        <w:t>right to information</w:t>
      </w:r>
      <w:r>
        <w:t xml:space="preserve"> </w:t>
      </w:r>
      <w:r w:rsidR="00EE2A5C">
        <w:t>of</w:t>
      </w:r>
      <w:r>
        <w:t xml:space="preserve"> that personal data and </w:t>
      </w:r>
      <w:r w:rsidR="00EE2A5C">
        <w:t>of</w:t>
      </w:r>
      <w:r>
        <w:t xml:space="preserve"> the information detailed in Article 15 GDPR.</w:t>
      </w:r>
    </w:p>
    <w:p w14:paraId="613497D3" w14:textId="60701D1B" w:rsidR="007D0C37" w:rsidRDefault="007D0C37" w:rsidP="007D0C37">
      <w:r>
        <w:t xml:space="preserve">The data subject has the right to request the controller to </w:t>
      </w:r>
      <w:r w:rsidRPr="00EE2A5C">
        <w:rPr>
          <w:b/>
          <w:bCs/>
        </w:rPr>
        <w:t>rectify inaccurate personal data</w:t>
      </w:r>
      <w:r>
        <w:t xml:space="preserve"> concerning him or her </w:t>
      </w:r>
      <w:r w:rsidR="00EE2A5C">
        <w:t xml:space="preserve">immediately </w:t>
      </w:r>
      <w:r>
        <w:t xml:space="preserve">and, if necessary, to </w:t>
      </w:r>
      <w:r w:rsidRPr="009A037C">
        <w:rPr>
          <w:b/>
          <w:bCs/>
        </w:rPr>
        <w:t>complete</w:t>
      </w:r>
      <w:r>
        <w:t xml:space="preserve"> incomplete personal data (</w:t>
      </w:r>
      <w:r w:rsidR="00FB58D5" w:rsidRPr="00FB58D5">
        <w:t xml:space="preserve">Article </w:t>
      </w:r>
      <w:r>
        <w:t>16 GDPR).</w:t>
      </w:r>
    </w:p>
    <w:p w14:paraId="39B173DC" w14:textId="1C015891" w:rsidR="007D0C37" w:rsidRDefault="007D0C37" w:rsidP="007D0C37">
      <w:r>
        <w:t>The data subject has the right to require the controller to delete personal data concerning him</w:t>
      </w:r>
      <w:r w:rsidR="00B333EB">
        <w:t xml:space="preserve"> or </w:t>
      </w:r>
      <w:r>
        <w:t xml:space="preserve">her without delay, provided that one of the reasons set out in Article 17 GDPR is specific, </w:t>
      </w:r>
      <w:r w:rsidR="00B333EB">
        <w:t xml:space="preserve">for example </w:t>
      </w:r>
      <w:r w:rsidR="00B333EB" w:rsidRPr="00B333EB">
        <w:t xml:space="preserve">if the data is no longer needed for the purposes pursued </w:t>
      </w:r>
      <w:r>
        <w:t>(</w:t>
      </w:r>
      <w:r w:rsidRPr="009A037C">
        <w:rPr>
          <w:b/>
          <w:bCs/>
        </w:rPr>
        <w:t>right to erasure</w:t>
      </w:r>
      <w:r>
        <w:t>).</w:t>
      </w:r>
    </w:p>
    <w:p w14:paraId="67B6A293" w14:textId="59A698BF" w:rsidR="007D0C37" w:rsidRDefault="007D0C37" w:rsidP="007D0C37">
      <w:r>
        <w:t xml:space="preserve">The data subject has the right to require the controller to </w:t>
      </w:r>
      <w:r w:rsidRPr="009A037C">
        <w:rPr>
          <w:b/>
          <w:bCs/>
        </w:rPr>
        <w:t>restrict the processing</w:t>
      </w:r>
      <w:r>
        <w:t xml:space="preserve"> if one of the conditions set out in Article 18 GDPR is met, </w:t>
      </w:r>
      <w:r w:rsidR="00B333EB">
        <w:t>for example</w:t>
      </w:r>
      <w:r>
        <w:t xml:space="preserve"> if the data subject objects to the processing for the duration of the </w:t>
      </w:r>
      <w:r w:rsidR="00B333EB">
        <w:t>review</w:t>
      </w:r>
      <w:r>
        <w:t xml:space="preserve"> by the controller.</w:t>
      </w:r>
    </w:p>
    <w:p w14:paraId="6487D191" w14:textId="2EE41116" w:rsidR="007D0C37" w:rsidRDefault="00C901BD" w:rsidP="007D0C37">
      <w:r w:rsidRPr="00C901BD">
        <w:t xml:space="preserve">The data subject has the right, at any time, to </w:t>
      </w:r>
      <w:r w:rsidRPr="00C901BD">
        <w:rPr>
          <w:b/>
          <w:bCs/>
        </w:rPr>
        <w:t>object</w:t>
      </w:r>
      <w:r w:rsidRPr="00C901BD">
        <w:t xml:space="preserve"> to the processing of personal data for reasons arising from his or her </w:t>
      </w:r>
      <w:proofErr w:type="gramStart"/>
      <w:r w:rsidRPr="00C901BD">
        <w:t>particular situation</w:t>
      </w:r>
      <w:proofErr w:type="gramEnd"/>
      <w:r w:rsidRPr="00C901BD">
        <w:t>.</w:t>
      </w:r>
      <w:r w:rsidR="007D0C37">
        <w:t xml:space="preserve"> The controller will no longer process the personal data unless he can prove compelling legitimate grounds for the processing that outweigh the interests, rights and freedoms of the data subject, or the processing serves the purpose of the </w:t>
      </w:r>
      <w:r w:rsidR="00FB58D5">
        <w:t>e</w:t>
      </w:r>
      <w:r w:rsidR="007D0C37">
        <w:t xml:space="preserve">nforcement, exercise or </w:t>
      </w:r>
      <w:r w:rsidR="00FB58D5">
        <w:t>defense</w:t>
      </w:r>
      <w:r w:rsidR="007D0C37">
        <w:t xml:space="preserve"> of legal claims (</w:t>
      </w:r>
      <w:r w:rsidR="00FB58D5">
        <w:t xml:space="preserve">Article </w:t>
      </w:r>
      <w:r w:rsidR="007D0C37">
        <w:t>21 GDPR).</w:t>
      </w:r>
    </w:p>
    <w:p w14:paraId="497FA4A8" w14:textId="65E114F5" w:rsidR="007D0C37" w:rsidRDefault="00FB58D5" w:rsidP="007D0C37">
      <w:r w:rsidRPr="00FB58D5">
        <w:t xml:space="preserve">Without prejudice to any other administrative or judicial remedy, any data subject shall have the </w:t>
      </w:r>
      <w:r w:rsidRPr="00FB58D5">
        <w:rPr>
          <w:b/>
          <w:bCs/>
        </w:rPr>
        <w:t>right to lodge a complaint</w:t>
      </w:r>
      <w:r w:rsidRPr="00FB58D5">
        <w:t xml:space="preserve"> with a supervisory authority if the data subject considers that the processing of personal data concerning them is contrary to the GDPR (Article 77 GDPR).</w:t>
      </w:r>
      <w:r>
        <w:t xml:space="preserve"> </w:t>
      </w:r>
      <w:r w:rsidR="007D0C37" w:rsidRPr="009A037C">
        <w:t>The data subject may</w:t>
      </w:r>
      <w:r w:rsidR="007D0C37">
        <w:t xml:space="preserve"> </w:t>
      </w:r>
      <w:r w:rsidR="007D0C37" w:rsidRPr="009A037C">
        <w:t xml:space="preserve">assert that right with a supervisory authority in the </w:t>
      </w:r>
      <w:r w:rsidRPr="00FB58D5">
        <w:t>Member State of his or her residence</w:t>
      </w:r>
      <w:r w:rsidR="007D0C37" w:rsidRPr="009A037C">
        <w:t>, place of work</w:t>
      </w:r>
      <w:r>
        <w:t>,</w:t>
      </w:r>
      <w:r w:rsidR="007D0C37" w:rsidRPr="009A037C">
        <w:t xml:space="preserve"> or the place of alleged infringement. </w:t>
      </w:r>
      <w:r w:rsidRPr="00FB58D5">
        <w:t>In (state)</w:t>
      </w:r>
      <w:r>
        <w:t>,</w:t>
      </w:r>
      <w:r w:rsidRPr="00FB58D5">
        <w:t xml:space="preserve"> the responsible supervisory authority is:</w:t>
      </w:r>
      <w:r>
        <w:t xml:space="preserve"> </w:t>
      </w:r>
      <w:r w:rsidRPr="00FB58D5">
        <w:rPr>
          <w:b/>
          <w:bCs/>
        </w:rPr>
        <w:t>[</w:t>
      </w:r>
      <w:r w:rsidRPr="00FB58D5">
        <w:rPr>
          <w:b/>
          <w:bCs/>
        </w:rPr>
        <w:t>supervisory authority</w:t>
      </w:r>
      <w:r w:rsidRPr="00FB58D5">
        <w:rPr>
          <w:b/>
          <w:bCs/>
        </w:rPr>
        <w:t>]</w:t>
      </w:r>
    </w:p>
    <w:p w14:paraId="463BCF9D" w14:textId="77777777" w:rsidR="00E4392C" w:rsidRDefault="00E4392C"/>
    <w:sectPr w:rsidR="00E4392C" w:rsidSect="007E3041">
      <w:pgSz w:w="11906" w:h="16838"/>
      <w:pgMar w:top="1440" w:right="1080" w:bottom="142" w:left="1080"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F468" w14:textId="77777777" w:rsidR="00462C1D" w:rsidRDefault="00462C1D" w:rsidP="00097556">
      <w:pPr>
        <w:spacing w:after="0" w:line="240" w:lineRule="auto"/>
      </w:pPr>
      <w:r>
        <w:separator/>
      </w:r>
    </w:p>
  </w:endnote>
  <w:endnote w:type="continuationSeparator" w:id="0">
    <w:p w14:paraId="229C9BF4" w14:textId="77777777" w:rsidR="00462C1D" w:rsidRDefault="00462C1D" w:rsidP="0009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43AA" w14:textId="77777777" w:rsidR="00462C1D" w:rsidRDefault="00462C1D" w:rsidP="00097556">
      <w:pPr>
        <w:spacing w:after="0" w:line="240" w:lineRule="auto"/>
      </w:pPr>
      <w:r>
        <w:separator/>
      </w:r>
    </w:p>
  </w:footnote>
  <w:footnote w:type="continuationSeparator" w:id="0">
    <w:p w14:paraId="1AC9A673" w14:textId="77777777" w:rsidR="00462C1D" w:rsidRDefault="00462C1D" w:rsidP="00097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F675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5E4D"/>
    <w:multiLevelType w:val="hybridMultilevel"/>
    <w:tmpl w:val="FFD4EF9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6E268E"/>
    <w:multiLevelType w:val="hybridMultilevel"/>
    <w:tmpl w:val="A9FE13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B44B84"/>
    <w:multiLevelType w:val="multilevel"/>
    <w:tmpl w:val="7ABA958A"/>
    <w:lvl w:ilvl="0">
      <w:numFmt w:val="bullet"/>
      <w:lvlText w:val=""/>
      <w:lvlJc w:val="right"/>
      <w:pPr>
        <w:keepLines/>
        <w:tabs>
          <w:tab w:val="num" w:pos="0"/>
        </w:tabs>
        <w:spacing w:after="150"/>
        <w:ind w:left="0" w:hanging="210"/>
      </w:pPr>
      <w:rPr>
        <w:rFonts w:ascii="Symbol" w:hAnsi="Symbol"/>
        <w:color w:val="00000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5D"/>
    <w:rsid w:val="00006E36"/>
    <w:rsid w:val="00080F13"/>
    <w:rsid w:val="00086DCC"/>
    <w:rsid w:val="00097556"/>
    <w:rsid w:val="001178AF"/>
    <w:rsid w:val="0016620C"/>
    <w:rsid w:val="0018432C"/>
    <w:rsid w:val="001872E5"/>
    <w:rsid w:val="00194800"/>
    <w:rsid w:val="001A3B94"/>
    <w:rsid w:val="002B2F23"/>
    <w:rsid w:val="002C6E81"/>
    <w:rsid w:val="00366863"/>
    <w:rsid w:val="00383120"/>
    <w:rsid w:val="00462C1D"/>
    <w:rsid w:val="00465D01"/>
    <w:rsid w:val="00527FBC"/>
    <w:rsid w:val="005377B7"/>
    <w:rsid w:val="00580E17"/>
    <w:rsid w:val="006B3655"/>
    <w:rsid w:val="00791EB8"/>
    <w:rsid w:val="007D0C37"/>
    <w:rsid w:val="007E3041"/>
    <w:rsid w:val="007F30D2"/>
    <w:rsid w:val="009A037C"/>
    <w:rsid w:val="009F06FD"/>
    <w:rsid w:val="00A710B5"/>
    <w:rsid w:val="00AE06D4"/>
    <w:rsid w:val="00B333EB"/>
    <w:rsid w:val="00BB706E"/>
    <w:rsid w:val="00C901BD"/>
    <w:rsid w:val="00D0423C"/>
    <w:rsid w:val="00D47FC7"/>
    <w:rsid w:val="00D63104"/>
    <w:rsid w:val="00E4392C"/>
    <w:rsid w:val="00EE2A5C"/>
    <w:rsid w:val="00F42B5D"/>
    <w:rsid w:val="00FA4725"/>
    <w:rsid w:val="00FB58D5"/>
    <w:rsid w:val="00FD4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E3E8"/>
  <w15:chartTrackingRefBased/>
  <w15:docId w15:val="{C35E332D-7D46-45CD-98BF-0FF3E5FF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43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6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BC"/>
    <w:rPr>
      <w:rFonts w:ascii="Segoe UI" w:hAnsi="Segoe UI" w:cs="Segoe UI"/>
      <w:sz w:val="18"/>
      <w:szCs w:val="18"/>
      <w:lang w:val="en-US"/>
    </w:rPr>
  </w:style>
  <w:style w:type="paragraph" w:styleId="ListParagraph">
    <w:name w:val="List Paragraph"/>
    <w:basedOn w:val="Normal"/>
    <w:uiPriority w:val="34"/>
    <w:qFormat/>
    <w:rsid w:val="001178AF"/>
    <w:pPr>
      <w:ind w:left="720"/>
      <w:contextualSpacing/>
    </w:pPr>
  </w:style>
  <w:style w:type="paragraph" w:customStyle="1" w:styleId="h1">
    <w:name w:val="h1"/>
    <w:basedOn w:val="Heading1"/>
    <w:rsid w:val="00E4392C"/>
    <w:pPr>
      <w:keepLines w:val="0"/>
      <w:spacing w:before="330" w:after="45" w:line="240" w:lineRule="auto"/>
    </w:pPr>
    <w:rPr>
      <w:rFonts w:ascii="Open Sans ExtraBold" w:eastAsia="Open Sans Light" w:hAnsi="Open Sans ExtraBold" w:cs="Open Sans ExtraBold"/>
      <w:b/>
      <w:bCs/>
      <w:color w:val="009CDE"/>
      <w:spacing w:val="-15"/>
      <w:sz w:val="36"/>
      <w:szCs w:val="36"/>
      <w:lang w:val="da-DK" w:eastAsia="da-DK"/>
    </w:rPr>
  </w:style>
  <w:style w:type="paragraph" w:customStyle="1" w:styleId="p">
    <w:name w:val="p"/>
    <w:rsid w:val="00E4392C"/>
    <w:pPr>
      <w:spacing w:before="201" w:after="201" w:line="240" w:lineRule="auto"/>
    </w:pPr>
    <w:rPr>
      <w:rFonts w:ascii="Open Sans Light" w:eastAsia="Open Sans Light" w:hAnsi="Open Sans Light" w:cs="Open Sans Light"/>
      <w:sz w:val="18"/>
      <w:szCs w:val="18"/>
      <w:lang w:eastAsia="da-DK"/>
    </w:rPr>
  </w:style>
  <w:style w:type="character" w:customStyle="1" w:styleId="spanspecialbold">
    <w:name w:val="span_specialbold"/>
    <w:rsid w:val="00E4392C"/>
    <w:rPr>
      <w:rFonts w:ascii="Open Sans SemiBold" w:hAnsi="Open Sans SemiBold" w:cs="Open Sans SemiBold"/>
      <w:color w:val="000000"/>
      <w:sz w:val="18"/>
      <w:szCs w:val="18"/>
    </w:rPr>
  </w:style>
  <w:style w:type="paragraph" w:customStyle="1" w:styleId="li">
    <w:name w:val="li"/>
    <w:rsid w:val="00E4392C"/>
    <w:pPr>
      <w:keepLines/>
      <w:spacing w:after="150" w:line="240" w:lineRule="auto"/>
      <w:ind w:left="600"/>
    </w:pPr>
    <w:rPr>
      <w:rFonts w:ascii="Open Sans Light" w:eastAsia="Open Sans Light" w:hAnsi="Open Sans Light" w:cs="Open Sans Light"/>
      <w:sz w:val="18"/>
      <w:szCs w:val="18"/>
      <w:lang w:eastAsia="da-DK"/>
    </w:rPr>
  </w:style>
  <w:style w:type="character" w:customStyle="1" w:styleId="Heading1Char">
    <w:name w:val="Heading 1 Char"/>
    <w:basedOn w:val="DefaultParagraphFont"/>
    <w:link w:val="Heading1"/>
    <w:uiPriority w:val="9"/>
    <w:rsid w:val="00E4392C"/>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D0423C"/>
    <w:pPr>
      <w:tabs>
        <w:tab w:val="center" w:pos="4819"/>
        <w:tab w:val="right" w:pos="9638"/>
      </w:tabs>
      <w:spacing w:after="0" w:line="240" w:lineRule="auto"/>
    </w:pPr>
  </w:style>
  <w:style w:type="character" w:customStyle="1" w:styleId="HeaderChar">
    <w:name w:val="Header Char"/>
    <w:basedOn w:val="DefaultParagraphFont"/>
    <w:link w:val="Header"/>
    <w:uiPriority w:val="99"/>
    <w:rsid w:val="00D0423C"/>
    <w:rPr>
      <w:lang w:val="en-US"/>
    </w:rPr>
  </w:style>
  <w:style w:type="paragraph" w:styleId="Footer">
    <w:name w:val="footer"/>
    <w:basedOn w:val="Normal"/>
    <w:link w:val="FooterChar"/>
    <w:uiPriority w:val="99"/>
    <w:unhideWhenUsed/>
    <w:rsid w:val="00D042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D0423C"/>
    <w:rPr>
      <w:lang w:val="en-US"/>
    </w:rPr>
  </w:style>
  <w:style w:type="paragraph" w:styleId="ListBullet">
    <w:name w:val="List Bullet"/>
    <w:basedOn w:val="Normal"/>
    <w:uiPriority w:val="99"/>
    <w:unhideWhenUsed/>
    <w:rsid w:val="00D0423C"/>
    <w:pPr>
      <w:numPr>
        <w:numId w:val="4"/>
      </w:numPr>
      <w:contextualSpacing/>
    </w:pPr>
  </w:style>
  <w:style w:type="character" w:customStyle="1" w:styleId="Heading2Char">
    <w:name w:val="Heading 2 Char"/>
    <w:basedOn w:val="DefaultParagraphFont"/>
    <w:link w:val="Heading2"/>
    <w:uiPriority w:val="9"/>
    <w:rsid w:val="006B3655"/>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641</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Jackson</dc:creator>
  <cp:keywords/>
  <dc:description/>
  <cp:lastModifiedBy>Jon Jackson</cp:lastModifiedBy>
  <cp:revision>20</cp:revision>
  <cp:lastPrinted>2019-07-03T13:34:00Z</cp:lastPrinted>
  <dcterms:created xsi:type="dcterms:W3CDTF">2019-04-29T09:58:00Z</dcterms:created>
  <dcterms:modified xsi:type="dcterms:W3CDTF">2019-07-04T07:58:00Z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19ff5e-7daf-4491-b1c6-e53f34428e93_Enabled">
    <vt:lpwstr>True</vt:lpwstr>
  </property>
  <property fmtid="{D5CDD505-2E9C-101B-9397-08002B2CF9AE}" pid="3" name="MSIP_Label_6919ff5e-7daf-4491-b1c6-e53f34428e93_SiteId">
    <vt:lpwstr>4744e4b2-072d-4754-be71-250b45e049fe</vt:lpwstr>
  </property>
  <property fmtid="{D5CDD505-2E9C-101B-9397-08002B2CF9AE}" pid="4" name="MSIP_Label_6919ff5e-7daf-4491-b1c6-e53f34428e93_Owner">
    <vt:lpwstr>joja@milestone.dk</vt:lpwstr>
  </property>
  <property fmtid="{D5CDD505-2E9C-101B-9397-08002B2CF9AE}" pid="5" name="MSIP_Label_6919ff5e-7daf-4491-b1c6-e53f34428e93_SetDate">
    <vt:lpwstr>2019-05-27T09:36:48.8147388Z</vt:lpwstr>
  </property>
  <property fmtid="{D5CDD505-2E9C-101B-9397-08002B2CF9AE}" pid="6" name="MSIP_Label_6919ff5e-7daf-4491-b1c6-e53f34428e93_Name">
    <vt:lpwstr>Public (R4)</vt:lpwstr>
  </property>
  <property fmtid="{D5CDD505-2E9C-101B-9397-08002B2CF9AE}" pid="7" name="MSIP_Label_6919ff5e-7daf-4491-b1c6-e53f34428e93_Application">
    <vt:lpwstr>Microsoft Azure Information Protection</vt:lpwstr>
  </property>
  <property fmtid="{D5CDD505-2E9C-101B-9397-08002B2CF9AE}" pid="8" name="MSIP_Label_6919ff5e-7daf-4491-b1c6-e53f34428e93_Extended_MSFT_Method">
    <vt:lpwstr>Manual</vt:lpwstr>
  </property>
  <property fmtid="{D5CDD505-2E9C-101B-9397-08002B2CF9AE}" pid="9" name="Sensitivity">
    <vt:lpwstr>Public (R4)</vt:lpwstr>
  </property>
</Properties>
</file>